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noVBand="1" w:noHBand="0" w:firstRow="1" w:lastRow="0" w:firstColumn="1" w:lastColumn="0"/>
      </w:tblPr>
      <w:tblGrid>
        <w:gridCol w:w="4590"/>
        <w:gridCol w:w="4481"/>
      </w:tblGrid>
      <w:tr>
        <w:trPr>
          <w:trHeight w:val="345" w:hRule="atLeast"/>
        </w:trPr>
        <w:tc>
          <w:tcPr>
            <w:tcW w:w="4590" w:type="dxa"/>
            <w:tcBorders/>
          </w:tcPr>
          <w:p>
            <w:pPr>
              <w:pStyle w:val="Style29"/>
              <w:rPr/>
            </w:pPr>
            <w:r>
              <w:rPr/>
            </w:r>
          </w:p>
        </w:tc>
        <w:tc>
          <w:tcPr>
            <w:tcW w:w="4481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культуры, печати и по делам национальностей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>17 сентября</w:t>
            </w:r>
            <w:r>
              <w:rPr>
                <w:sz w:val="28"/>
                <w:szCs w:val="28"/>
                <w:u w:val="none"/>
              </w:rPr>
              <w:t>_</w:t>
            </w:r>
            <w:r>
              <w:rPr>
                <w:sz w:val="28"/>
                <w:szCs w:val="28"/>
              </w:rPr>
              <w:t xml:space="preserve"> 2021 г. № _</w:t>
            </w:r>
            <w:r>
              <w:rPr>
                <w:sz w:val="28"/>
                <w:szCs w:val="28"/>
                <w:u w:val="single"/>
              </w:rPr>
              <w:t>198 вр</w:t>
            </w:r>
            <w:r>
              <w:rPr>
                <w:sz w:val="28"/>
                <w:szCs w:val="28"/>
                <w:u w:val="none"/>
              </w:rPr>
              <w:t>_</w:t>
            </w:r>
          </w:p>
        </w:tc>
      </w:tr>
    </w:tbl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республиканском литературном конкурсе </w:t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«Колыбель моя - Марий Эл»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(«Марий Эл - мыйын шепкам»)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. Общие положения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1.1. Настоящее Положение определяет порядок организации               и условия проведения республиканского литературного конкурса          </w:t>
      </w:r>
      <w:r>
        <w:rPr>
          <w:b w:val="false"/>
          <w:bCs w:val="false"/>
          <w:color w:val="000000"/>
          <w:sz w:val="28"/>
          <w:szCs w:val="28"/>
        </w:rPr>
        <w:t xml:space="preserve">«Колыбель моя - Марий Эл»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(«Марий Эл - мыйын шепкам»)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Конкурс), определяет круг его участников, требования к конкурсным работам (произведениям), условия и сроки его проведения.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1.2.  Организатор Конкурса - Министерство культуры, печати              и по делам национальностей Республики Марий Эл (далее - Министерство).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1.3. Конкурс проводится в рамках реализации подпрограммы «Поддержка и развитие средств массовой информации и книгоиздания» государственной программы Республики Марий Эл «Государственная национальная политика Республики Марий Эл на 2013-2025 годы», утверждённой постановлением Правительства Республики Марий Эл         от 8 октября 2012 г. № 387 «О государственной программе Республики Марий Эл «Государственная национальная политика Республики Марий Эл на 2013-2025 годы».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/>
      </w:pPr>
      <w:r>
        <w:rPr>
          <w:color w:val="000000"/>
          <w:sz w:val="28"/>
          <w:szCs w:val="28"/>
        </w:rPr>
        <w:t>1.4. </w:t>
      </w:r>
      <w:r>
        <w:rPr>
          <w:color w:val="000000"/>
          <w:sz w:val="28"/>
          <w:szCs w:val="28"/>
          <w:lang w:val="be-BY"/>
        </w:rPr>
        <w:t xml:space="preserve">Объявление о проведении Конкурса публикуется                          на официальном сайте </w:t>
      </w:r>
      <w:r>
        <w:rPr>
          <w:color w:val="000000"/>
          <w:sz w:val="28"/>
          <w:szCs w:val="28"/>
        </w:rPr>
        <w:t xml:space="preserve">Министерства </w:t>
      </w:r>
      <w:hyperlink r:id="rId2">
        <w:r>
          <w:rPr>
            <w:color w:val="000000"/>
            <w:sz w:val="28"/>
            <w:szCs w:val="28"/>
          </w:rPr>
          <w:t>www.</w:t>
        </w:r>
        <w:r>
          <w:rPr>
            <w:color w:val="000000" w:themeColor="text1"/>
            <w:sz w:val="28"/>
            <w:szCs w:val="28"/>
          </w:rPr>
          <w:t>mincult12.ru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«Новости». Положение о Конкурсе и форма Заявки представлены                в разделе «Конкурсы».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  <w:shd w:fill="FFFFFF" w:val="clear"/>
        </w:rPr>
        <w:t>2. Цели и задачи Конкурса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2.1. </w:t>
      </w:r>
      <w:r>
        <w:rPr>
          <w:rFonts w:cs="Times New Roman"/>
          <w:b w:val="false"/>
          <w:bCs w:val="false"/>
          <w:color w:val="000000"/>
          <w:sz w:val="28"/>
          <w:szCs w:val="28"/>
          <w:shd w:fill="FFFFFF" w:val="clear"/>
        </w:rPr>
        <w:t>Цели</w:t>
      </w:r>
      <w:r>
        <w:rPr>
          <w:rFonts w:cs="Times New Roman"/>
          <w:color w:val="000000"/>
          <w:sz w:val="28"/>
          <w:szCs w:val="28"/>
          <w:shd w:fill="FFFFFF" w:val="clear"/>
        </w:rPr>
        <w:t>:</w:t>
      </w:r>
    </w:p>
    <w:p>
      <w:pPr>
        <w:sectPr>
          <w:footerReference w:type="default" r:id="rId3"/>
          <w:type w:val="nextPage"/>
          <w:pgSz w:w="12240" w:h="15840"/>
          <w:pgMar w:left="1985" w:right="1134" w:header="0" w:top="737" w:footer="567" w:bottom="98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cs="Times New Roman"/>
          <w:color w:val="000000" w:themeColor="text1"/>
          <w:sz w:val="28"/>
          <w:szCs w:val="28"/>
          <w:highlight w:val="white"/>
        </w:rPr>
        <w:t xml:space="preserve">сохранение и развитие традиций отечественной и региональной литературы;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highlight w:val="white"/>
        </w:rPr>
        <w:t>формирование уважительного отношения к традициям, культурному и историческому прошлому родного края;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highlight w:val="white"/>
        </w:rPr>
        <w:t>укрепление гражданского единства и гармонизация межнациональных и межконфессиональных отношений;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highlight w:val="white"/>
        </w:rPr>
        <w:t>патриотическое воспитание подрастающего поколения.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2.2. Задачи: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highlight w:val="white"/>
        </w:rPr>
        <w:t>поддержка авторов литературных произведений за вклад                      в развитие истории и культуры народов России, проживающих                   на территории Республики Марий Эл;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>повышение интереса граждан к жизни и развитию родного края, формирование чувства уважения к истории малой родины;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cs="Times New Roman"/>
          <w:color w:val="000000" w:themeColor="text1"/>
          <w:sz w:val="28"/>
          <w:szCs w:val="28"/>
          <w:highlight w:val="white"/>
          <w:lang w:val="be-BY"/>
        </w:rPr>
        <w:t>создание условий для творческой самореализации и культурного роста авторов литературных произведений.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. Оргкомитет Конкурса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3.1. Для рассмотрения конкурсных работ, оценки конкурсных материалов и подведения итогов создается Оргкомитет Конкурса,                      в состав которого входят председатель, секретарь и члены Оргкомитета.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3.2. Состав Оргкомитета утверждается приказом Министерства.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3.3. Формат проведения голосования – заочный.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3.4. Принятые решения оформляются протоколом.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>. Условия проведения Конкурса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4.1. В Конкурсе могут принять участие граждане Российской Федерации, достигшие возраста 18 лет, постоянно проживающие               на территории Республики Марий Эл</w:t>
      </w:r>
      <w:r>
        <w:rPr>
          <w:color w:val="000000"/>
          <w:sz w:val="28"/>
          <w:szCs w:val="28"/>
        </w:rPr>
        <w:t xml:space="preserve">, - </w:t>
      </w:r>
      <w:r>
        <w:rPr>
          <w:rFonts w:cs="Times New Roman"/>
          <w:color w:val="000000"/>
          <w:sz w:val="28"/>
          <w:szCs w:val="28"/>
        </w:rPr>
        <w:t xml:space="preserve">авторы, </w:t>
      </w:r>
      <w:r>
        <w:rPr>
          <w:color w:val="000000"/>
          <w:sz w:val="28"/>
          <w:szCs w:val="28"/>
        </w:rPr>
        <w:t>коллективы авторов литературных произведений, выполнившие требования по оформлению конкурсных работ (раздел 6).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4.2. Работы, представленные на Конкурс, не возвращаются                   и не рецензируются.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4.3. Информация об итогах Конкурса публикуется на сайте Министерства.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4.4. Авторы, подавая свои произведения на Конкурс, соглашаются            с тем, что если они будет опубликованы в печатных изданиях                         под соответствующей рубрикой, то они не претендует на выплату авторского гонорара и не возражают против редакторской правки работ литературными редакторами.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color w:val="000000"/>
          <w:sz w:val="28"/>
          <w:szCs w:val="28"/>
        </w:rPr>
        <w:t>4.5. Прием заявок на участие в Конкурсе осуществляется                    до 10 октября 2021 года на электронную</w:t>
      </w:r>
      <w:r>
        <w:rPr>
          <w:color w:val="000000"/>
          <w:sz w:val="28"/>
          <w:szCs w:val="28"/>
          <w:lang w:val="en-US"/>
        </w:rPr>
        <w:t xml:space="preserve"> почту</w:t>
      </w:r>
      <w:r>
        <w:rPr>
          <w:color w:val="000000"/>
          <w:sz w:val="28"/>
          <w:szCs w:val="28"/>
        </w:rPr>
        <w:t xml:space="preserve">: </w:t>
      </w:r>
      <w:hyperlink r:id="rId4">
        <w:r>
          <w:rPr>
            <w:color w:val="000000"/>
            <w:sz w:val="28"/>
            <w:szCs w:val="28"/>
            <w:lang w:val="en-US"/>
          </w:rPr>
          <w:t>upmk</w:t>
        </w:r>
        <w:r>
          <w:rPr>
            <w:color w:val="000000"/>
            <w:sz w:val="28"/>
            <w:szCs w:val="28"/>
          </w:rPr>
          <w:t>_12@</w:t>
        </w:r>
        <w:r>
          <w:rPr>
            <w:color w:val="000000"/>
            <w:sz w:val="28"/>
            <w:szCs w:val="28"/>
            <w:lang w:val="en-US"/>
          </w:rPr>
          <w:t>mail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</w:t>
      </w:r>
    </w:p>
    <w:p>
      <w:pPr>
        <w:pStyle w:val="Style27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b w:val="false"/>
          <w:color w:val="000000"/>
          <w:sz w:val="28"/>
          <w:szCs w:val="28"/>
        </w:rPr>
        <w:t>4.6. Справки по телефону: 8(8362) 45-16-67.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en-US"/>
        </w:rPr>
        <w:t>5</w:t>
      </w:r>
      <w:r>
        <w:rPr>
          <w:b/>
          <w:color w:val="000000"/>
          <w:sz w:val="28"/>
          <w:szCs w:val="28"/>
        </w:rPr>
        <w:t>. Номинации Конкурса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Проза;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Поэзия;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Публицистика (эссе, очерк, новелла);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Проба пера (проза, поэзия, публицистика).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В каждой номинации определяются два победителя - авторы лучших произведений на русском и на марийском языках. Количество номинаций, в которых может участвовать отдельный автор (авторский коллектив),          - не более двух.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en-US"/>
        </w:rPr>
        <w:t>6.</w:t>
      </w:r>
      <w:r>
        <w:rPr>
          <w:b/>
          <w:color w:val="000000"/>
          <w:sz w:val="28"/>
          <w:szCs w:val="28"/>
        </w:rPr>
        <w:t xml:space="preserve"> Требования к конкурсным работам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6.1. На Конкурс принимаются работы как опубликованные,              так и неопубликованные ранее - в период 2020-2021 гг. Конкурсные работы не должны быть заявлены в иных литературных конкурсах.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 xml:space="preserve">6.2. Работы должны представляться </w:t>
      </w:r>
      <w:r>
        <w:rPr>
          <w:color w:val="000000"/>
          <w:sz w:val="28"/>
          <w:szCs w:val="28"/>
        </w:rPr>
        <w:t>в электронном виде. Заявка         и конкурсные работы являются основанием для участия в Конкурсе.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6.3. К участию принимаются произведения собственного сочинения на государственных языках Республики Марий Эл - русском и марийском.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6.4. Члены Оргкомитета Конкурса не могут принимать участие                   в Конкурсе.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6.5. Работы, в которых присутствует ненормативная лексика, призывы к экстремизму, пропаганда насилия и жестокости, иные нарушения законодательства Российской Федерации, на Конкурс                 не принимаются.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6.6. Оргкомитет Конкурса не указывает авторам причину,                          по которой работы не были допущены к Конкурсу.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6.7. Объем рассказа не должен превышать </w:t>
      </w:r>
      <w:r>
        <w:rPr>
          <w:color w:val="000000" w:themeColor="text1"/>
          <w:sz w:val="28"/>
          <w:szCs w:val="28"/>
        </w:rPr>
        <w:t>20 000</w:t>
      </w:r>
      <w:r>
        <w:rPr>
          <w:color w:val="000000"/>
          <w:sz w:val="28"/>
          <w:szCs w:val="28"/>
        </w:rPr>
        <w:t xml:space="preserve"> знаков                          (с пробелами/ около 11 страниц формата А-4), стиха - 120 стихотворных строк. Работы принимаются в формате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. Размер шрифта – 14, междустрочный интервал – 1,5.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/>
      </w:pPr>
      <w:r>
        <w:rPr>
          <w:b/>
          <w:bCs/>
          <w:sz w:val="28"/>
          <w:szCs w:val="28"/>
        </w:rPr>
        <w:t>7. Критерии оценки конкурсных работ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sz w:val="28"/>
          <w:szCs w:val="28"/>
        </w:rPr>
        <w:t>глубина раскрытия темы;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sz w:val="28"/>
          <w:szCs w:val="28"/>
        </w:rPr>
        <w:t>стилистическое своеобразие, выразительность, точность</w:t>
        <w:br/>
        <w:t>и доходчивость языка;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color w:val="000000"/>
          <w:sz w:val="28"/>
          <w:szCs w:val="28"/>
        </w:rPr>
        <w:t>оригинальность в реализации идеи, творческого сюжета.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center"/>
        <w:rPr/>
      </w:pP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 Подведение итогов Конкурса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sz w:val="28"/>
          <w:szCs w:val="28"/>
        </w:rPr>
        <w:t>Оргкомитет подводит итоги Конкурса не позднее 10 ноября           2021 года.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Конкурса награждаются денежными премиями в размере 5 000 рублей.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hanging="0"/>
        <w:jc w:val="both"/>
        <w:rPr/>
      </w:pPr>
      <w:r>
        <w:rPr/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Приложение</w:t>
      </w:r>
    </w:p>
    <w:p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 Конкурсе 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участника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республиканского литературного конкурса 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«Колыбель моя - Марий Эл» </w:t>
      </w:r>
      <w:r>
        <w:rPr>
          <w:rFonts w:cs="Times New Roman"/>
          <w:b/>
          <w:bCs/>
          <w:color w:val="000000"/>
          <w:sz w:val="28"/>
          <w:szCs w:val="28"/>
        </w:rPr>
        <w:t>(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«Марий Эл - мыйын шепкам»)</w:t>
      </w:r>
    </w:p>
    <w:p>
      <w:pPr>
        <w:pStyle w:val="Normal"/>
        <w:tabs>
          <w:tab w:val="clear" w:pos="708"/>
          <w:tab w:val="left" w:pos="5355" w:leader="none"/>
        </w:tabs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5355" w:leader="none"/>
        </w:tabs>
        <w:rPr>
          <w:b/>
          <w:b/>
          <w:bCs w:val="false"/>
          <w:color w:val="000000"/>
          <w:sz w:val="28"/>
          <w:szCs w:val="28"/>
        </w:rPr>
      </w:pPr>
      <w:r>
        <w:rPr>
          <w:b/>
          <w:bCs w:val="false"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Название работы: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Аннотация: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Контактные данные (электронная почта, телефон):</w:t>
      </w:r>
    </w:p>
    <w:p>
      <w:pPr>
        <w:pStyle w:val="Normal"/>
        <w:tabs>
          <w:tab w:val="clear" w:pos="708"/>
          <w:tab w:val="left" w:pos="535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5355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Дополнительная информация об участнике Конкурса (по желанию,                     в свободной форме):</w:t>
      </w:r>
    </w:p>
    <w:p>
      <w:pPr>
        <w:pStyle w:val="Normal"/>
        <w:tabs>
          <w:tab w:val="clear" w:pos="708"/>
          <w:tab w:val="left" w:pos="5355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5355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5355" w:leader="none"/>
        </w:tabs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Подпись, дата:</w:t>
      </w:r>
    </w:p>
    <w:sectPr>
      <w:headerReference w:type="default" r:id="rId5"/>
      <w:footerReference w:type="default" r:id="rId6"/>
      <w:type w:val="nextPage"/>
      <w:pgSz w:w="12240" w:h="15840"/>
      <w:pgMar w:left="1985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val="04a0" w:noVBand="1" w:noHBand="0" w:firstRow="1" w:lastRow="0" w:firstColumn="1" w:lastColumn="0"/>
    </w:tblPr>
    <w:tblGrid>
      <w:gridCol w:w="3040"/>
      <w:gridCol w:w="3040"/>
      <w:gridCol w:w="3041"/>
    </w:tblGrid>
    <w:tr>
      <w:trPr>
        <w:trHeight w:val="720" w:hRule="atLeast"/>
      </w:trPr>
      <w:tc>
        <w:tcPr>
          <w:tcW w:w="3040" w:type="dxa"/>
          <w:tcBorders/>
        </w:tcPr>
        <w:p>
          <w:pPr>
            <w:pStyle w:val="Style28"/>
            <w:tabs>
              <w:tab w:val="clear" w:pos="4677"/>
              <w:tab w:val="clear" w:pos="9355"/>
            </w:tabs>
            <w:rPr>
              <w:color w:val="4F81BD" w:themeColor="accent1"/>
            </w:rPr>
          </w:pPr>
          <w:r>
            <w:rPr>
              <w:color w:val="4F81BD" w:themeColor="accent1"/>
            </w:rPr>
          </w:r>
        </w:p>
      </w:tc>
      <w:tc>
        <w:tcPr>
          <w:tcW w:w="3040" w:type="dxa"/>
          <w:tcBorders/>
        </w:tcPr>
        <w:p>
          <w:pPr>
            <w:pStyle w:val="Style2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</w:r>
        </w:p>
      </w:tc>
      <w:tc>
        <w:tcPr>
          <w:tcW w:w="3041" w:type="dxa"/>
          <w:tcBorders/>
        </w:tcPr>
        <w:p>
          <w:pPr>
            <w:pStyle w:val="Style28"/>
            <w:tabs>
              <w:tab w:val="clear" w:pos="4677"/>
              <w:tab w:val="clear" w:pos="9355"/>
            </w:tabs>
            <w:jc w:val="right"/>
            <w:rPr/>
          </w:pPr>
          <w:r>
            <w:rPr/>
          </w:r>
        </w:p>
        <w:p>
          <w:pPr>
            <w:pStyle w:val="Style28"/>
            <w:tabs>
              <w:tab w:val="clear" w:pos="4677"/>
              <w:tab w:val="clear" w:pos="9355"/>
            </w:tabs>
            <w:jc w:val="right"/>
            <w:rPr/>
          </w:pPr>
          <w:r>
            <w:rPr/>
          </w:r>
        </w:p>
        <w:p>
          <w:pPr>
            <w:pStyle w:val="Style28"/>
            <w:tabs>
              <w:tab w:val="clear" w:pos="4677"/>
              <w:tab w:val="clear" w:pos="9355"/>
            </w:tabs>
            <w:jc w:val="right"/>
            <w:rPr/>
          </w:pPr>
          <w:r>
            <w:rPr/>
          </w:r>
        </w:p>
        <w:p>
          <w:pPr>
            <w:pStyle w:val="Style28"/>
            <w:tabs>
              <w:tab w:val="clear" w:pos="4677"/>
              <w:tab w:val="clear" w:pos="9355"/>
            </w:tabs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</w:p>
      </w:tc>
    </w:tr>
  </w:tbl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b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324b6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50cc2"/>
    <w:rPr>
      <w:rFonts w:cs="Times New Roman"/>
    </w:rPr>
  </w:style>
  <w:style w:type="character" w:styleId="Style15" w:customStyle="1">
    <w:name w:val="Интернет-ссылка"/>
    <w:basedOn w:val="DefaultParagraphFont"/>
    <w:rsid w:val="004c092a"/>
    <w:rPr>
      <w:color w:val="0000FF"/>
      <w:u w:val="single"/>
    </w:rPr>
  </w:style>
  <w:style w:type="character" w:styleId="Style16" w:customStyle="1">
    <w:name w:val="Название Знак"/>
    <w:basedOn w:val="DefaultParagraphFont"/>
    <w:qFormat/>
    <w:rsid w:val="004c092a"/>
    <w:rPr>
      <w:b/>
      <w:sz w:val="24"/>
    </w:rPr>
  </w:style>
  <w:style w:type="character" w:styleId="Strong">
    <w:name w:val="Strong"/>
    <w:basedOn w:val="DefaultParagraphFont"/>
    <w:qFormat/>
    <w:rsid w:val="00bc4f26"/>
    <w:rPr>
      <w:b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0504e"/>
    <w:rPr>
      <w:sz w:val="24"/>
      <w:szCs w:val="24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924a3f"/>
    <w:rPr>
      <w:rFonts w:ascii="Tahoma" w:hAnsi="Tahoma" w:cs="Tahoma"/>
      <w:sz w:val="16"/>
      <w:szCs w:val="16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dd33cc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uiPriority w:val="99"/>
    <w:rsid w:val="00b50c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Title"/>
    <w:basedOn w:val="Normal"/>
    <w:qFormat/>
    <w:rsid w:val="004c092a"/>
    <w:pPr>
      <w:jc w:val="center"/>
    </w:pPr>
    <w:rPr>
      <w:b/>
      <w:szCs w:val="20"/>
    </w:rPr>
  </w:style>
  <w:style w:type="paragraph" w:styleId="Style28">
    <w:name w:val="Header"/>
    <w:basedOn w:val="Normal"/>
    <w:uiPriority w:val="99"/>
    <w:unhideWhenUsed/>
    <w:rsid w:val="005050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610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24a3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a7"/>
    <w:pPr>
      <w:ind w:left="708" w:hanging="0"/>
    </w:pPr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e01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ncult12.ru/" TargetMode="External"/><Relationship Id="rId3" Type="http://schemas.openxmlformats.org/officeDocument/2006/relationships/footer" Target="footer1.xml"/><Relationship Id="rId4" Type="http://schemas.openxmlformats.org/officeDocument/2006/relationships/hyperlink" Target="mailto:upmk_12@mail.ru" TargetMode="Externa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ED5-CC19-447F-896E-24C025C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LibreOffice/6.4.6.2$Linux_X86_64 LibreOffice_project/40$Build-2</Application>
  <Pages>5</Pages>
  <Words>701</Words>
  <Characters>4739</Characters>
  <CharactersWithSpaces>5763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2020-03-30T08:55:00Z</dcterms:created>
  <dc:creator>AIGagarkin</dc:creator>
  <dc:description/>
  <dc:language>ru-RU</dc:language>
  <cp:lastModifiedBy/>
  <cp:lastPrinted>2021-09-17T11:49:46Z</cp:lastPrinted>
  <dcterms:modified xsi:type="dcterms:W3CDTF">2021-09-21T09:55:58Z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